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705" w:rsidRDefault="00CA76E8">
      <w:pPr>
        <w:spacing w:after="480"/>
        <w:jc w:val="right"/>
        <w:rPr>
          <w:rFonts w:eastAsia="맑은 고딕" w:hint="eastAsia"/>
          <w:color w:val="777777"/>
          <w:sz w:val="18"/>
          <w:lang w:eastAsia="ko-KR"/>
        </w:rPr>
      </w:pPr>
      <w:r>
        <w:rPr>
          <w:color w:val="777777"/>
          <w:sz w:val="18"/>
        </w:rPr>
        <w:t xml:space="preserve">PRESS RELEASE | </w:t>
      </w:r>
      <w:hyperlink r:id="rId8" w:history="1">
        <w:r w:rsidR="000D1179" w:rsidRPr="00ED18DA">
          <w:rPr>
            <w:rStyle w:val="aff1"/>
            <w:sz w:val="18"/>
          </w:rPr>
          <w:t>www.icpa.or.kr</w:t>
        </w:r>
      </w:hyperlink>
    </w:p>
    <w:tbl>
      <w:tblPr>
        <w:tblOverlap w:val="never"/>
        <w:tblW w:w="9097" w:type="dxa"/>
        <w:tblInd w:w="-40" w:type="dxa"/>
        <w:tblLayout w:type="fixed"/>
        <w:tblCellMar>
          <w:top w:w="15" w:type="dxa"/>
          <w:left w:w="15" w:type="dxa"/>
          <w:bottom w:w="15" w:type="dxa"/>
          <w:right w:w="15" w:type="dxa"/>
        </w:tblCellMar>
        <w:tblLook w:val="04A0"/>
      </w:tblPr>
      <w:tblGrid>
        <w:gridCol w:w="9097"/>
      </w:tblGrid>
      <w:tr w:rsidR="000D1179" w:rsidRPr="000B0A2C"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0D1179" w:rsidRPr="000B0A2C" w:rsidRDefault="000D1179" w:rsidP="002A0D5D">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rPr>
              <w:drawing>
                <wp:inline distT="0" distB="0" distL="0" distR="0">
                  <wp:extent cx="5661212" cy="1609725"/>
                  <wp:effectExtent l="0" t="0" r="3175" b="3175"/>
                  <wp:docPr id="5"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0D1179" w:rsidRPr="00FB35B7"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0D1179" w:rsidRPr="000D1179" w:rsidRDefault="000D1179" w:rsidP="000D1179">
            <w:pPr>
              <w:snapToGrid w:val="0"/>
              <w:spacing w:after="0"/>
              <w:jc w:val="center"/>
              <w:textAlignment w:val="baseline"/>
              <w:rPr>
                <w:rFonts w:ascii="Times New Roman" w:eastAsia="맑은 고딕" w:hAnsi="Times New Roman" w:cs="Times New Roman"/>
                <w:b/>
                <w:bCs/>
                <w:color w:val="3366FF"/>
                <w:spacing w:val="-14"/>
                <w:sz w:val="44"/>
                <w:szCs w:val="44"/>
              </w:rPr>
            </w:pPr>
            <w:proofErr w:type="spellStart"/>
            <w:r w:rsidRPr="000D1179">
              <w:rPr>
                <w:rFonts w:ascii="Times New Roman" w:eastAsia="맑은 고딕" w:hAnsi="Times New Roman" w:cs="Times New Roman"/>
                <w:b/>
                <w:bCs/>
                <w:color w:val="3366FF"/>
                <w:spacing w:val="-14"/>
                <w:sz w:val="44"/>
                <w:szCs w:val="44"/>
              </w:rPr>
              <w:t>仁川港湾公社</w:t>
            </w:r>
            <w:r w:rsidRPr="000D1179">
              <w:rPr>
                <w:rFonts w:ascii="Times New Roman" w:eastAsia="맑은 고딕" w:hAnsi="Times New Roman" w:cs="Times New Roman" w:hint="eastAsia"/>
                <w:b/>
                <w:bCs/>
                <w:color w:val="3366FF"/>
                <w:spacing w:val="-14"/>
                <w:sz w:val="44"/>
                <w:szCs w:val="44"/>
              </w:rPr>
              <w:t>开通仁川</w:t>
            </w:r>
            <w:r w:rsidRPr="000D1179">
              <w:rPr>
                <w:rFonts w:ascii="Times New Roman" w:eastAsia="맑은 고딕" w:hAnsi="Times New Roman" w:cs="Times New Roman"/>
                <w:b/>
                <w:bCs/>
                <w:color w:val="3366FF"/>
                <w:spacing w:val="-14"/>
                <w:sz w:val="44"/>
                <w:szCs w:val="44"/>
              </w:rPr>
              <w:t>↔</w:t>
            </w:r>
            <w:r w:rsidRPr="000D1179">
              <w:rPr>
                <w:rFonts w:ascii="Times New Roman" w:eastAsia="맑은 고딕" w:hAnsi="Times New Roman" w:cs="Times New Roman"/>
                <w:b/>
                <w:bCs/>
                <w:color w:val="3366FF"/>
                <w:spacing w:val="-14"/>
                <w:sz w:val="44"/>
                <w:szCs w:val="44"/>
              </w:rPr>
              <w:t>印度尼西</w:t>
            </w:r>
            <w:r w:rsidRPr="000D1179">
              <w:rPr>
                <w:rFonts w:ascii="Times New Roman" w:eastAsia="맑은 고딕" w:hAnsi="Times New Roman" w:cs="Times New Roman" w:hint="eastAsia"/>
                <w:b/>
                <w:bCs/>
                <w:color w:val="3366FF"/>
                <w:spacing w:val="-14"/>
                <w:sz w:val="44"/>
                <w:szCs w:val="44"/>
              </w:rPr>
              <w:t>亚（雅加达</w:t>
            </w:r>
            <w:r w:rsidRPr="000D1179">
              <w:rPr>
                <w:rFonts w:ascii="Times New Roman" w:eastAsia="맑은 고딕" w:hAnsi="Times New Roman" w:cs="Times New Roman"/>
                <w:b/>
                <w:bCs/>
                <w:color w:val="3366FF"/>
                <w:spacing w:val="-14"/>
                <w:sz w:val="44"/>
                <w:szCs w:val="44"/>
              </w:rPr>
              <w:t>·</w:t>
            </w:r>
            <w:r w:rsidRPr="000D1179">
              <w:rPr>
                <w:rFonts w:ascii="Times New Roman" w:eastAsia="맑은 고딕" w:hAnsi="Times New Roman" w:cs="Times New Roman"/>
                <w:b/>
                <w:bCs/>
                <w:color w:val="3366FF"/>
                <w:spacing w:val="-14"/>
                <w:sz w:val="44"/>
                <w:szCs w:val="44"/>
              </w:rPr>
              <w:t>泗水）直航航</w:t>
            </w:r>
            <w:r w:rsidRPr="000D1179">
              <w:rPr>
                <w:rFonts w:ascii="Times New Roman" w:eastAsia="맑은 고딕" w:hAnsi="Times New Roman" w:cs="Times New Roman" w:hint="eastAsia"/>
                <w:b/>
                <w:bCs/>
                <w:color w:val="3366FF"/>
                <w:spacing w:val="-14"/>
                <w:sz w:val="44"/>
                <w:szCs w:val="44"/>
              </w:rPr>
              <w:t>线</w:t>
            </w:r>
            <w:proofErr w:type="spellEnd"/>
          </w:p>
          <w:p w:rsidR="000D1179" w:rsidRPr="000D1179" w:rsidRDefault="000D1179" w:rsidP="002A0D5D">
            <w:pPr>
              <w:snapToGrid w:val="0"/>
              <w:spacing w:after="0"/>
              <w:jc w:val="center"/>
              <w:textAlignment w:val="baseline"/>
              <w:rPr>
                <w:rFonts w:ascii="Times New Roman" w:eastAsia="맑은 고딕" w:hAnsi="Times New Roman" w:cs="Times New Roman" w:hint="eastAsia"/>
                <w:color w:val="000000"/>
                <w:sz w:val="24"/>
                <w:szCs w:val="24"/>
                <w:lang w:eastAsia="ko-KR"/>
              </w:rPr>
            </w:pPr>
          </w:p>
          <w:p w:rsidR="000D1179" w:rsidRPr="00E76CD5" w:rsidRDefault="000D1179" w:rsidP="000D1179">
            <w:pPr>
              <w:snapToGrid w:val="0"/>
              <w:spacing w:after="0"/>
              <w:jc w:val="center"/>
              <w:textAlignment w:val="baseline"/>
              <w:rPr>
                <w:rFonts w:ascii="Times New Roman" w:eastAsia="맑은 고딕" w:hAnsi="Times New Roman" w:cs="Times New Roman" w:hint="eastAsia"/>
                <w:color w:val="000000"/>
                <w:sz w:val="24"/>
                <w:szCs w:val="24"/>
                <w:lang w:eastAsia="ko-KR"/>
              </w:rPr>
            </w:pPr>
            <w:r w:rsidRPr="000D1179">
              <w:rPr>
                <w:rFonts w:ascii="Times New Roman" w:eastAsia="맑은 고딕" w:hAnsi="Times New Roman" w:cs="Times New Roman" w:hint="eastAsia"/>
                <w:color w:val="000000"/>
                <w:sz w:val="24"/>
                <w:szCs w:val="24"/>
              </w:rPr>
              <w:t>预计每年将增加</w:t>
            </w:r>
            <w:r w:rsidRPr="000D1179">
              <w:rPr>
                <w:rFonts w:ascii="Times New Roman" w:eastAsia="맑은 고딕" w:hAnsi="Times New Roman" w:cs="Times New Roman"/>
                <w:color w:val="000000"/>
                <w:sz w:val="24"/>
                <w:szCs w:val="24"/>
              </w:rPr>
              <w:t>12</w:t>
            </w:r>
            <w:r w:rsidRPr="000D1179">
              <w:rPr>
                <w:rFonts w:ascii="Times New Roman" w:eastAsia="맑은 고딕" w:hAnsi="Times New Roman" w:cs="Times New Roman"/>
                <w:color w:val="000000"/>
                <w:sz w:val="24"/>
                <w:szCs w:val="24"/>
              </w:rPr>
              <w:t>万</w:t>
            </w:r>
            <w:r w:rsidRPr="000D1179">
              <w:rPr>
                <w:rFonts w:ascii="Times New Roman" w:eastAsia="맑은 고딕" w:hAnsi="Times New Roman" w:cs="Times New Roman"/>
                <w:color w:val="000000"/>
                <w:sz w:val="24"/>
                <w:szCs w:val="24"/>
              </w:rPr>
              <w:t>TEU</w:t>
            </w:r>
            <w:r w:rsidRPr="000D1179">
              <w:rPr>
                <w:rFonts w:ascii="Times New Roman" w:eastAsia="맑은 고딕" w:hAnsi="Times New Roman" w:cs="Times New Roman"/>
                <w:color w:val="000000"/>
                <w:sz w:val="24"/>
                <w:szCs w:val="24"/>
              </w:rPr>
              <w:t>的</w:t>
            </w:r>
            <w:r w:rsidRPr="000D1179">
              <w:rPr>
                <w:rFonts w:ascii="Times New Roman" w:eastAsia="맑은 고딕" w:hAnsi="Times New Roman" w:cs="Times New Roman" w:hint="eastAsia"/>
                <w:color w:val="000000"/>
                <w:sz w:val="24"/>
                <w:szCs w:val="24"/>
              </w:rPr>
              <w:t>货</w:t>
            </w:r>
            <w:r w:rsidRPr="000D1179">
              <w:rPr>
                <w:rFonts w:ascii="Times New Roman" w:eastAsia="맑은 고딕" w:hAnsi="Times New Roman" w:cs="Times New Roman"/>
                <w:color w:val="000000"/>
                <w:sz w:val="24"/>
                <w:szCs w:val="24"/>
              </w:rPr>
              <w:t>物</w:t>
            </w:r>
            <w:r w:rsidRPr="000D1179">
              <w:rPr>
                <w:rFonts w:ascii="Times New Roman" w:eastAsia="맑은 고딕" w:hAnsi="Times New Roman" w:cs="Times New Roman" w:hint="eastAsia"/>
                <w:color w:val="000000"/>
                <w:sz w:val="24"/>
                <w:szCs w:val="24"/>
              </w:rPr>
              <w:t>吞吐量</w:t>
            </w:r>
          </w:p>
        </w:tc>
      </w:tr>
    </w:tbl>
    <w:p w:rsidR="000D1179" w:rsidRPr="000D1179" w:rsidRDefault="000D1179">
      <w:pPr>
        <w:spacing w:after="480"/>
        <w:jc w:val="right"/>
        <w:rPr>
          <w:rFonts w:eastAsia="맑은 고딕" w:hint="eastAsia"/>
          <w:lang w:eastAsia="ko-KR"/>
        </w:rPr>
      </w:pPr>
    </w:p>
    <w:p w:rsidR="00766705" w:rsidRDefault="00CA76E8">
      <w:pPr>
        <w:spacing w:after="240" w:line="312" w:lineRule="auto"/>
      </w:pPr>
      <w:r>
        <w:t xml:space="preserve">○ </w:t>
      </w:r>
      <w:proofErr w:type="spellStart"/>
      <w:r>
        <w:t>仁川港湾公社（</w:t>
      </w:r>
      <w:r>
        <w:t>IPA</w:t>
      </w:r>
      <w:r>
        <w:t>，</w:t>
      </w:r>
      <w:r>
        <w:t>www.icpa.or.kr</w:t>
      </w:r>
      <w:r>
        <w:t>，社长</w:t>
      </w:r>
      <w:proofErr w:type="spellEnd"/>
      <w:r>
        <w:t xml:space="preserve"> </w:t>
      </w:r>
      <w:r>
        <w:t>李琼揆）宣布，</w:t>
      </w:r>
      <w:r>
        <w:t>KCI</w:t>
      </w:r>
      <w:r>
        <w:t>（</w:t>
      </w:r>
      <w:r>
        <w:t>Korea-China-Indonesia</w:t>
      </w:r>
      <w:r>
        <w:t>）集装箱定期班轮服务于</w:t>
      </w:r>
      <w:r>
        <w:t>13</w:t>
      </w:r>
      <w:r>
        <w:t>日起在仁川港正式投入运营。</w:t>
      </w:r>
    </w:p>
    <w:p w:rsidR="00766705" w:rsidRDefault="00CA76E8">
      <w:pPr>
        <w:spacing w:after="240" w:line="312" w:lineRule="auto"/>
      </w:pPr>
      <w:r>
        <w:t>○ KCI</w:t>
      </w:r>
      <w:r>
        <w:t>航线为周班服务，循环挂靠：仁川</w:t>
      </w:r>
      <w:r>
        <w:t xml:space="preserve"> – </w:t>
      </w:r>
      <w:r>
        <w:t>青岛</w:t>
      </w:r>
      <w:r>
        <w:t xml:space="preserve"> – Shanghai – </w:t>
      </w:r>
      <w:r>
        <w:t>雅加达</w:t>
      </w:r>
      <w:r>
        <w:t xml:space="preserve"> – </w:t>
      </w:r>
      <w:r>
        <w:t>泗水</w:t>
      </w:r>
      <w:r>
        <w:t xml:space="preserve"> – </w:t>
      </w:r>
      <w:r>
        <w:t>蛇口</w:t>
      </w:r>
      <w:r>
        <w:t xml:space="preserve"> – </w:t>
      </w:r>
      <w:r>
        <w:t>釜山</w:t>
      </w:r>
      <w:r>
        <w:t xml:space="preserve"> – </w:t>
      </w:r>
      <w:r>
        <w:t>仁川。该航线将陆续投入</w:t>
      </w:r>
      <w:r>
        <w:t>4</w:t>
      </w:r>
      <w:r>
        <w:t>艘运力介于</w:t>
      </w:r>
      <w:r>
        <w:t xml:space="preserve"> 2,200 </w:t>
      </w:r>
      <w:r>
        <w:t>TEU</w:t>
      </w:r>
      <w:r>
        <w:t>至</w:t>
      </w:r>
      <w:r>
        <w:t>2,954 TEU</w:t>
      </w:r>
      <w:r>
        <w:t>之间的集装箱船。</w:t>
      </w:r>
    </w:p>
    <w:p w:rsidR="00766705" w:rsidRDefault="00CA76E8">
      <w:pPr>
        <w:spacing w:after="240" w:line="312" w:lineRule="auto"/>
      </w:pPr>
      <w:r>
        <w:t xml:space="preserve">○ </w:t>
      </w:r>
      <w:r>
        <w:t>作为新航线的首航，百利航运（</w:t>
      </w:r>
      <w:r>
        <w:t>Interasia Lines</w:t>
      </w:r>
      <w:r>
        <w:t>）旗下的</w:t>
      </w:r>
      <w:r>
        <w:t>“INTERASIA ENGAGE”</w:t>
      </w:r>
      <w:r>
        <w:t>号（</w:t>
      </w:r>
      <w:r>
        <w:t>2,200 TEU</w:t>
      </w:r>
      <w:r>
        <w:t>级）于</w:t>
      </w:r>
      <w:r>
        <w:t>13</w:t>
      </w:r>
      <w:r>
        <w:t>日靠泊韩进仁川集装箱码头（</w:t>
      </w:r>
      <w:r>
        <w:t>HJIT</w:t>
      </w:r>
      <w:r>
        <w:t>）。随后，德翔海运（</w:t>
      </w:r>
      <w:r>
        <w:t>TS Lines</w:t>
      </w:r>
      <w:r>
        <w:t>）、</w:t>
      </w:r>
      <w:r>
        <w:t>GSL</w:t>
      </w:r>
      <w:r>
        <w:t>、南星海运（</w:t>
      </w:r>
      <w:r>
        <w:t>Namsung Shipping</w:t>
      </w:r>
      <w:r>
        <w:t>）的船舶也将依次投入运营，确保航线的稳定运作。</w:t>
      </w:r>
    </w:p>
    <w:p w:rsidR="00766705" w:rsidRDefault="00CA76E8">
      <w:pPr>
        <w:spacing w:after="240" w:line="312" w:lineRule="auto"/>
      </w:pPr>
      <w:r>
        <w:t xml:space="preserve">○ </w:t>
      </w:r>
      <w:r>
        <w:t>仁川港湾公社期待，新航线的开通将大幅提升以印度尼西亚雅加达和泗水地区为中心的进出口物流便利性。特别是，预计每年将创造</w:t>
      </w:r>
      <w:r>
        <w:t>12</w:t>
      </w:r>
      <w:r>
        <w:t>万</w:t>
      </w:r>
      <w:r>
        <w:t>TEU</w:t>
      </w:r>
      <w:r>
        <w:t>以上的新增吞吐量，主要涵盖</w:t>
      </w:r>
      <w:r>
        <w:t>出口至雅加达的废纸、聚氯乙烯（</w:t>
      </w:r>
      <w:r>
        <w:t>PVC</w:t>
      </w:r>
      <w:r>
        <w:t>）等货物，以及从中国深圳（蛇口）进口的家具类货物。</w:t>
      </w:r>
    </w:p>
    <w:p w:rsidR="00766705" w:rsidRDefault="00CA76E8">
      <w:pPr>
        <w:spacing w:after="240" w:line="312" w:lineRule="auto"/>
      </w:pPr>
      <w:r>
        <w:t xml:space="preserve">○ </w:t>
      </w:r>
      <w:r>
        <w:t>此次</w:t>
      </w:r>
      <w:r>
        <w:t>KCI</w:t>
      </w:r>
      <w:r>
        <w:t>航线的开通是仁川港正在推进的</w:t>
      </w:r>
      <w:r>
        <w:t>“</w:t>
      </w:r>
      <w:r>
        <w:t>以新增长市场为中心的航线多元化战略</w:t>
      </w:r>
      <w:r>
        <w:t>”</w:t>
      </w:r>
      <w:r>
        <w:t>的一环。仁川港湾公社解释称，此前面向印度尼西亚地区的船公司、货主及货代持续开展的港口推介会（</w:t>
      </w:r>
      <w:r>
        <w:t>Port Sales</w:t>
      </w:r>
      <w:r>
        <w:t>）以及战略地区奖励制度의</w:t>
      </w:r>
      <w:r>
        <w:t xml:space="preserve"> </w:t>
      </w:r>
      <w:r>
        <w:t>宣传，已通过此次航线的开通取得了实质性成果。</w:t>
      </w:r>
    </w:p>
    <w:p w:rsidR="00766705" w:rsidRDefault="00CA76E8">
      <w:pPr>
        <w:spacing w:after="240" w:line="312" w:lineRule="auto"/>
      </w:pPr>
      <w:r>
        <w:lastRenderedPageBreak/>
        <w:t xml:space="preserve">○ </w:t>
      </w:r>
      <w:r>
        <w:t>仁川港湾公社社长</w:t>
      </w:r>
      <w:r>
        <w:t xml:space="preserve"> </w:t>
      </w:r>
      <w:r>
        <w:t>李琼揆表示：</w:t>
      </w:r>
      <w:r>
        <w:t>“</w:t>
      </w:r>
      <w:r>
        <w:t>此次开通印度尼西亚新航线，将成为直接连接东南亚新增长市场与仁川港的重要契机。</w:t>
      </w:r>
      <w:r>
        <w:t>”</w:t>
      </w:r>
      <w:r>
        <w:t>他随后补充道：</w:t>
      </w:r>
      <w:r>
        <w:t>“</w:t>
      </w:r>
      <w:r>
        <w:t>未来，我们将继续针对印度尼西亚</w:t>
      </w:r>
      <w:r>
        <w:t>等新增长市场开展积极的营销和航线引进行动，竭力支持首都圈进出口企业的物流竞争力提升。</w:t>
      </w:r>
      <w:r>
        <w:t>”</w:t>
      </w:r>
    </w:p>
    <w:p w:rsidR="00766705" w:rsidRDefault="00CA76E8">
      <w:pPr>
        <w:spacing w:after="240" w:line="312" w:lineRule="auto"/>
      </w:pPr>
      <w:r>
        <w:t xml:space="preserve">○ </w:t>
      </w:r>
      <w:r>
        <w:t>此外，仁川港去年共新开通了</w:t>
      </w:r>
      <w:r>
        <w:t>9</w:t>
      </w:r>
      <w:r>
        <w:t>条集装箱航线，创下了运营</w:t>
      </w:r>
      <w:r>
        <w:t>72</w:t>
      </w:r>
      <w:r>
        <w:t>条集装箱定期航线的佳绩。</w:t>
      </w:r>
    </w:p>
    <w:sectPr w:rsidR="00766705"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6E8" w:rsidRDefault="00CA76E8" w:rsidP="000D1179">
      <w:pPr>
        <w:spacing w:after="0" w:line="240" w:lineRule="auto"/>
      </w:pPr>
      <w:r>
        <w:separator/>
      </w:r>
    </w:p>
  </w:endnote>
  <w:endnote w:type="continuationSeparator" w:id="0">
    <w:p w:rsidR="00CA76E8" w:rsidRDefault="00CA76E8" w:rsidP="000D11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6E8" w:rsidRDefault="00CA76E8" w:rsidP="000D1179">
      <w:pPr>
        <w:spacing w:after="0" w:line="240" w:lineRule="auto"/>
      </w:pPr>
      <w:r>
        <w:separator/>
      </w:r>
    </w:p>
  </w:footnote>
  <w:footnote w:type="continuationSeparator" w:id="0">
    <w:p w:rsidR="00CA76E8" w:rsidRDefault="00CA76E8" w:rsidP="000D11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0D1179"/>
    <w:rsid w:val="0015074B"/>
    <w:rsid w:val="0029639D"/>
    <w:rsid w:val="00326F90"/>
    <w:rsid w:val="00766705"/>
    <w:rsid w:val="00AA1D8D"/>
    <w:rsid w:val="00B47730"/>
    <w:rsid w:val="00CA76E8"/>
    <w:rsid w:val="00CB0664"/>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color w:val="333333"/>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1">
    <w:name w:val="Hyperlink"/>
    <w:basedOn w:val="a2"/>
    <w:uiPriority w:val="99"/>
    <w:unhideWhenUsed/>
    <w:rsid w:val="000D1179"/>
    <w:rPr>
      <w:color w:val="0000FF" w:themeColor="hyperlink"/>
      <w:u w:val="single"/>
    </w:rPr>
  </w:style>
  <w:style w:type="paragraph" w:styleId="aff2">
    <w:name w:val="Balloon Text"/>
    <w:basedOn w:val="a1"/>
    <w:link w:val="Char7"/>
    <w:uiPriority w:val="99"/>
    <w:semiHidden/>
    <w:unhideWhenUsed/>
    <w:rsid w:val="000D1179"/>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2"/>
    <w:uiPriority w:val="99"/>
    <w:semiHidden/>
    <w:rsid w:val="000D1179"/>
    <w:rPr>
      <w:rFonts w:asciiTheme="majorHAnsi" w:eastAsiaTheme="majorEastAsia" w:hAnsiTheme="majorHAnsi" w:cstheme="majorBidi"/>
      <w:color w:val="333333"/>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cpa.or.k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E5F32-EC3C-426A-865B-DDE28D96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2026-06-15T05:10:00Z</dcterms:created>
  <dcterms:modified xsi:type="dcterms:W3CDTF">2026-06-15T05:10:00Z</dcterms:modified>
</cp:coreProperties>
</file>